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D5D1" w14:textId="611F415D" w:rsidR="006C1DF8" w:rsidRPr="00584D6E"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eastAsia="Times New Roman" w:hAnsi="Times New Roman" w:cs="Times New Roman"/>
          <w:b/>
          <w:bCs/>
          <w:sz w:val="26"/>
          <w:szCs w:val="26"/>
        </w:rPr>
      </w:pPr>
      <w:r>
        <w:rPr>
          <w:rFonts w:ascii="Times New Roman" w:hAnsi="Times New Roman"/>
          <w:b/>
          <w:sz w:val="26"/>
        </w:rPr>
        <w:t xml:space="preserve">INSTRUCTIONS ON RIGHTS AND OBLIGATIONS </w:t>
      </w:r>
    </w:p>
    <w:p w14:paraId="5A65978E"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4"/>
          <w:szCs w:val="4"/>
          <w:lang w:val="x-none" w:eastAsia="x-none"/>
        </w:rPr>
      </w:pPr>
    </w:p>
    <w:p w14:paraId="0673FA42"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6"/>
          <w:szCs w:val="6"/>
          <w:lang w:val="x-none" w:eastAsia="x-none"/>
        </w:rPr>
      </w:pPr>
    </w:p>
    <w:p w14:paraId="2A545706"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Times New Roman" w:eastAsia="Times New Roman" w:hAnsi="Times New Roman" w:cs="Times New Roman"/>
          <w:b/>
          <w:bCs/>
          <w:sz w:val="20"/>
          <w:szCs w:val="20"/>
        </w:rPr>
      </w:pPr>
      <w:r>
        <w:rPr>
          <w:rFonts w:ascii="Times New Roman" w:hAnsi="Times New Roman"/>
          <w:b/>
          <w:sz w:val="20"/>
        </w:rPr>
        <w:t>The defendant has the following rights and obligations:</w:t>
      </w:r>
    </w:p>
    <w:p w14:paraId="009B38A1" w14:textId="77777777" w:rsidR="006C1DF8" w:rsidRPr="006C1DF8" w:rsidRDefault="006C1DF8" w:rsidP="00AB4615">
      <w:pPr>
        <w:numPr>
          <w:ilvl w:val="0"/>
          <w:numId w:val="1"/>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rPr>
      </w:pPr>
      <w:r>
        <w:rPr>
          <w:rFonts w:ascii="Times New Roman" w:hAnsi="Times New Roman"/>
          <w:sz w:val="20"/>
        </w:rPr>
        <w:t>The right to give explanations, refuse to give explanations or refuse to answer particular questions, without having to give reasons for the refusal (Article 175 § 1)</w:t>
      </w:r>
      <w:r>
        <w:rPr>
          <w:rFonts w:ascii="Times New Roman" w:hAnsi="Times New Roman"/>
          <w:sz w:val="16"/>
        </w:rPr>
        <w:t>2)</w:t>
      </w:r>
      <w:r>
        <w:rPr>
          <w:rFonts w:ascii="Times New Roman" w:hAnsi="Times New Roman"/>
          <w:sz w:val="20"/>
        </w:rPr>
        <w:t xml:space="preserve">. </w:t>
      </w:r>
    </w:p>
    <w:p w14:paraId="5DD83BD9" w14:textId="4B4BB65E"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rPr>
      </w:pPr>
      <w:r>
        <w:rPr>
          <w:rFonts w:ascii="Times New Roman" w:hAnsi="Times New Roman"/>
          <w:color w:val="000000"/>
          <w:sz w:val="20"/>
        </w:rPr>
        <w:t xml:space="preserve">The right to </w:t>
      </w:r>
      <w:r>
        <w:rPr>
          <w:rFonts w:ascii="Times New Roman" w:hAnsi="Times New Roman"/>
          <w:sz w:val="20"/>
        </w:rPr>
        <w:t xml:space="preserve">be assisted by a defence counsel of the defendant’s choice. If the defendant demonstrates that they are unable to bear the costs of appointing a defence counsel of their choice without detriment to the necessary support of themselves and their family, the court may appoint a public defence counsel. </w:t>
      </w:r>
      <w:r>
        <w:rPr>
          <w:rFonts w:ascii="Times New Roman" w:hAnsi="Times New Roman"/>
          <w:color w:val="000000"/>
          <w:sz w:val="20"/>
        </w:rPr>
        <w:t xml:space="preserve">The request for the appointment of a public defence counsel should be submitted to the court within 7 days from the date of service of a copy of the bill of indictment. The request must be accompanied by evidence demonstrating that the defendant is unable to bear the costs of defence without detriment to the necessary support of themselves and their family. If the submission of the request after the time limit makes it necessary to reschedule the trial or hearing on conditional discontinuance of proceedings and the motion for conviction without trial, the request will be reviewed immediately after the trial or hearing date. This also applies to cases where the request is submitted on time, but does not meet the formal requirements or is not accompanied by evidence to show that the defendant is unable to bear the costs of defence without detriment to the necessary support of themselves and their family. After the first date of the trial or the hearings, the request for the appointment of a public defence counsel should be submitted to the court in such time that its review does not make it necessary to reschedule the next trial or hearing. Depending on the outcome of the trial, the defendant may be ordered to pay the costs of appointing a public defence counsel. </w:t>
      </w:r>
      <w:r>
        <w:rPr>
          <w:rFonts w:ascii="Times New Roman" w:hAnsi="Times New Roman"/>
          <w:sz w:val="20"/>
        </w:rPr>
        <w:t xml:space="preserve">For a defendant who does not have a defence counsel of choice appointed, a mandatory public defence counsel shall be appointed if: </w:t>
      </w:r>
      <w:r>
        <w:rPr>
          <w:rFonts w:ascii="Times New Roman" w:hAnsi="Times New Roman"/>
          <w:color w:val="000000"/>
          <w:sz w:val="20"/>
        </w:rPr>
        <w:t xml:space="preserve">the defendant is under 18 years of age; </w:t>
      </w:r>
      <w:r>
        <w:rPr>
          <w:rFonts w:ascii="Times New Roman" w:hAnsi="Times New Roman"/>
          <w:sz w:val="20"/>
        </w:rPr>
        <w:t>is deaf, mute or blind;</w:t>
      </w:r>
      <w:r>
        <w:rPr>
          <w:rFonts w:ascii="Times New Roman" w:hAnsi="Times New Roman"/>
          <w:color w:val="000000"/>
          <w:sz w:val="20"/>
        </w:rPr>
        <w:t xml:space="preserve"> there is a reasonable doubt as to whether the defendant’s ability to recognize the meaning of the act or direct their conduct was not excluded or significantly impaired at the time the act was committed; there is a reasonable doubt as to whether their mental health condition allows them to participate in the proceedings or conduct their defence on their own and in a reasonable manner, and also when the court deems it necessary due to other circumstances hindering the defence.</w:t>
      </w:r>
      <w:r w:rsidR="00410D2B">
        <w:rPr>
          <w:rFonts w:ascii="Times New Roman" w:hAnsi="Times New Roman"/>
          <w:color w:val="000000"/>
          <w:sz w:val="20"/>
        </w:rPr>
        <w:t xml:space="preserve"> </w:t>
      </w:r>
      <w:r>
        <w:rPr>
          <w:rFonts w:ascii="Times New Roman" w:hAnsi="Times New Roman"/>
          <w:sz w:val="20"/>
        </w:rPr>
        <w:t xml:space="preserve">The defendant must also have a defence counsel appointed if the court deems it necessary due to </w:t>
      </w:r>
      <w:r>
        <w:rPr>
          <w:rFonts w:ascii="Times New Roman" w:hAnsi="Times New Roman"/>
          <w:color w:val="000000"/>
          <w:sz w:val="20"/>
        </w:rPr>
        <w:t>other</w:t>
      </w:r>
      <w:r>
        <w:rPr>
          <w:rFonts w:ascii="Times New Roman" w:hAnsi="Times New Roman"/>
          <w:sz w:val="20"/>
        </w:rPr>
        <w:t xml:space="preserve"> circumstances hindering their defence, </w:t>
      </w:r>
      <w:r>
        <w:rPr>
          <w:rFonts w:ascii="Times New Roman" w:hAnsi="Times New Roman"/>
          <w:color w:val="000000"/>
          <w:sz w:val="20"/>
        </w:rPr>
        <w:t>and in proceedings before the regional court if they are charged with a felony (</w:t>
      </w:r>
      <w:r>
        <w:rPr>
          <w:rFonts w:ascii="Times New Roman" w:hAnsi="Times New Roman"/>
          <w:sz w:val="20"/>
        </w:rPr>
        <w:t xml:space="preserve">Article 6, Article 78 § 1, Article 79 § 1 and § 2, Article 80, first sentence, </w:t>
      </w:r>
      <w:r>
        <w:rPr>
          <w:rFonts w:ascii="Times New Roman" w:hAnsi="Times New Roman"/>
          <w:color w:val="000000"/>
          <w:sz w:val="20"/>
        </w:rPr>
        <w:t>Article 81 § 1, Article338 § 1a, Article 338b</w:t>
      </w:r>
      <w:r>
        <w:rPr>
          <w:rFonts w:ascii="Times New Roman" w:hAnsi="Times New Roman"/>
          <w:sz w:val="20"/>
        </w:rPr>
        <w:t>)</w:t>
      </w:r>
      <w:r>
        <w:rPr>
          <w:rFonts w:ascii="Times New Roman" w:hAnsi="Times New Roman"/>
          <w:color w:val="000000"/>
          <w:sz w:val="20"/>
        </w:rPr>
        <w:t xml:space="preserve">. </w:t>
      </w:r>
    </w:p>
    <w:p w14:paraId="4B7CD8FC" w14:textId="3642109B" w:rsidR="006C1DF8" w:rsidRPr="006C1DF8" w:rsidRDefault="006C1DF8"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eastAsia="Times New Roman" w:hAnsi="Times New Roman" w:cs="Times New Roman"/>
          <w:sz w:val="20"/>
          <w:szCs w:val="20"/>
        </w:rPr>
      </w:pPr>
      <w:r>
        <w:rPr>
          <w:rFonts w:ascii="Times New Roman" w:hAnsi="Times New Roman"/>
          <w:sz w:val="20"/>
        </w:rPr>
        <w:t>The right to file a written response to the bill of indictment. This right is available to the defendant within 7</w:t>
      </w:r>
      <w:r w:rsidR="00410D2B">
        <w:rPr>
          <w:rFonts w:ascii="Times New Roman" w:hAnsi="Times New Roman"/>
          <w:sz w:val="20"/>
        </w:rPr>
        <w:t> </w:t>
      </w:r>
      <w:r>
        <w:rPr>
          <w:rFonts w:ascii="Times New Roman" w:hAnsi="Times New Roman"/>
          <w:sz w:val="20"/>
        </w:rPr>
        <w:t>days of service of the bill of indictment (Article 338 § 2).</w:t>
      </w:r>
    </w:p>
    <w:p w14:paraId="0F9D2918" w14:textId="629212E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rPr>
      </w:pPr>
      <w:r>
        <w:rPr>
          <w:rFonts w:ascii="Times New Roman" w:hAnsi="Times New Roman"/>
          <w:color w:val="000000"/>
          <w:sz w:val="20"/>
        </w:rPr>
        <w:t>The right to attend the conditional discontinuance hearing if the defendant is not required to attend (Article</w:t>
      </w:r>
      <w:r w:rsidR="00410D2B">
        <w:rPr>
          <w:rFonts w:ascii="Times New Roman" w:hAnsi="Times New Roman"/>
          <w:color w:val="000000"/>
          <w:sz w:val="20"/>
        </w:rPr>
        <w:t> </w:t>
      </w:r>
      <w:r>
        <w:rPr>
          <w:rFonts w:ascii="Times New Roman" w:hAnsi="Times New Roman"/>
          <w:color w:val="000000"/>
          <w:sz w:val="20"/>
        </w:rPr>
        <w:t>341</w:t>
      </w:r>
      <w:r w:rsidR="00410D2B">
        <w:rPr>
          <w:rFonts w:ascii="Times New Roman" w:hAnsi="Times New Roman"/>
          <w:color w:val="000000"/>
          <w:sz w:val="20"/>
        </w:rPr>
        <w:t> </w:t>
      </w:r>
      <w:r>
        <w:rPr>
          <w:rFonts w:ascii="Times New Roman" w:hAnsi="Times New Roman"/>
          <w:color w:val="000000"/>
          <w:sz w:val="20"/>
        </w:rPr>
        <w:t>§ 1).</w:t>
      </w:r>
    </w:p>
    <w:p w14:paraId="1B3E46A0" w14:textId="7777777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rPr>
      </w:pPr>
      <w:r>
        <w:rPr>
          <w:rFonts w:ascii="Times New Roman" w:hAnsi="Times New Roman"/>
          <w:color w:val="000000"/>
          <w:sz w:val="20"/>
        </w:rPr>
        <w:t>The right to submit a motion for the defendant to be brought to the trial if the defendant is deprived of liberty and their presence at the trial is not mandatory. The motion should be filed within 7 days from the date of service of the notice (Article 353 § 3).</w:t>
      </w:r>
    </w:p>
    <w:p w14:paraId="3F2837D9" w14:textId="21757BBF"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rPr>
      </w:pPr>
      <w:r>
        <w:rPr>
          <w:rFonts w:ascii="Times New Roman" w:hAnsi="Times New Roman"/>
          <w:color w:val="000000"/>
          <w:sz w:val="20"/>
        </w:rPr>
        <w:t>The right to file a motion for a conviction and impose a specific sentence or punitive measure, impose a forfeiture or compensatory measure without evidentiary proceedings or making a specific ruling on the payment of costs of proceedings. The defendant may exercise this right before service of the notice of the trial date (Article</w:t>
      </w:r>
      <w:r w:rsidR="00410D2B">
        <w:rPr>
          <w:rFonts w:ascii="Times New Roman" w:hAnsi="Times New Roman"/>
          <w:color w:val="000000"/>
          <w:sz w:val="20"/>
        </w:rPr>
        <w:t> </w:t>
      </w:r>
      <w:r>
        <w:rPr>
          <w:rFonts w:ascii="Times New Roman" w:hAnsi="Times New Roman"/>
          <w:color w:val="000000"/>
          <w:sz w:val="20"/>
        </w:rPr>
        <w:t>338a).</w:t>
      </w:r>
    </w:p>
    <w:p w14:paraId="04F363DD" w14:textId="77777777" w:rsidR="006C1DF8" w:rsidRPr="006C1DF8" w:rsidRDefault="006C1DF8"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rPr>
      </w:pPr>
      <w:r>
        <w:rPr>
          <w:rFonts w:ascii="Times New Roman" w:hAnsi="Times New Roman"/>
          <w:sz w:val="20"/>
        </w:rPr>
        <w:t>The right to participate in the trial if the court does not consider the presence of the defendant mandatory.</w:t>
      </w:r>
      <w:r>
        <w:rPr>
          <w:rFonts w:ascii="Times New Roman" w:hAnsi="Times New Roman"/>
          <w:color w:val="000000"/>
          <w:sz w:val="20"/>
        </w:rPr>
        <w:t xml:space="preserve"> In felony cases, it is mandatory for the defendant to be present during the presentation of the charges of the indictment, during giving the answers to the indictment if filed, delivery of the instruction on the rights and duties, and the inquiry as to whether the defendant admits to the alleged act. </w:t>
      </w:r>
      <w:r>
        <w:rPr>
          <w:rFonts w:ascii="Times New Roman" w:hAnsi="Times New Roman"/>
          <w:sz w:val="20"/>
        </w:rPr>
        <w:t xml:space="preserve">The presiding judge may issue an order to prevent the defendant from leaving the courtroom before the end of the trial </w:t>
      </w:r>
      <w:r>
        <w:rPr>
          <w:rFonts w:ascii="Times New Roman" w:hAnsi="Times New Roman"/>
          <w:color w:val="000000"/>
          <w:sz w:val="20"/>
        </w:rPr>
        <w:t>(Article 374).</w:t>
      </w:r>
      <w:r>
        <w:rPr>
          <w:rFonts w:ascii="Times New Roman" w:hAnsi="Times New Roman"/>
          <w:sz w:val="20"/>
        </w:rPr>
        <w:t xml:space="preserve"> </w:t>
      </w:r>
      <w:r>
        <w:rPr>
          <w:rFonts w:ascii="Times New Roman" w:hAnsi="Times New Roman"/>
          <w:color w:val="000000"/>
          <w:sz w:val="20"/>
        </w:rPr>
        <w:t xml:space="preserve">The trial will not be held if the defendant fails to appear and there is no proof that the defendant was notified of the trial, and if there is a reasonable suspicion that the failure to appear was due to natural obstacles or other exceptional reasons. The trial may also not be held if the defendant duly excuses their failure to appear and requests that the action not be held without their presence (Article 117 § 2). Excuses for non-appearance due to illness of the defendant whose presence was mandatory or who requested admission to the activity, being entitled to participate in it, shall require presentation of a certificate confirming the inability to attend the summons of the authority conducting the proceedings, issued by a court physician </w:t>
      </w:r>
      <w:r>
        <w:rPr>
          <w:rFonts w:ascii="Times New Roman" w:hAnsi="Times New Roman"/>
          <w:sz w:val="20"/>
        </w:rPr>
        <w:t>(Article 117 § 2a).</w:t>
      </w:r>
      <w:r>
        <w:rPr>
          <w:rFonts w:ascii="Times New Roman" w:hAnsi="Times New Roman"/>
          <w:color w:val="000000"/>
          <w:sz w:val="20"/>
        </w:rPr>
        <w:t xml:space="preserve"> In the event of an unexcused failure to appear, the defendant, whose presence is mandatory, will be ordered to be immediately detained and brought in (Article 382). The failure of the defendant who was duly notified of the procedural action to appear, regardless of the reason for it, shall not prevent the conduct of the action if their defence counsel appeared, provided that the defendant’s participation was not mandatory (Article 117 § 3a).</w:t>
      </w:r>
    </w:p>
    <w:p w14:paraId="084ADB92" w14:textId="7777777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rPr>
      </w:pPr>
      <w:r>
        <w:rPr>
          <w:rFonts w:ascii="Times New Roman" w:hAnsi="Times New Roman"/>
          <w:color w:val="000000"/>
          <w:sz w:val="20"/>
        </w:rPr>
        <w:t>The right to the free assistance of an interpreter if the defendant does not have sufficient command of the Polish language (Article 72 § 1).</w:t>
      </w:r>
    </w:p>
    <w:p w14:paraId="3AD6320D" w14:textId="7777777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rPr>
      </w:pPr>
      <w:r>
        <w:rPr>
          <w:rFonts w:ascii="Times New Roman" w:hAnsi="Times New Roman"/>
          <w:color w:val="000000"/>
          <w:sz w:val="20"/>
        </w:rPr>
        <w:t xml:space="preserve">The right to file a motion for a conviction and impose a specific sentence or punitive measure, impose a forfeiture or compensatory measure without evidentiary proceedings or for making a specific ruling on the payment of costs of proceedings. The court may grant a motion for a conviction if the circumstances of the offence and guilt </w:t>
      </w:r>
      <w:r>
        <w:rPr>
          <w:rFonts w:ascii="Times New Roman" w:hAnsi="Times New Roman"/>
          <w:color w:val="000000"/>
          <w:sz w:val="20"/>
        </w:rPr>
        <w:lastRenderedPageBreak/>
        <w:t>are beyond doubt, and the goals of the proceedings are achieved despite the failure to hold a full trial; admission of the motion is possible only if there is no objection from the prosecutor or the victim who has been duly notified of the date of the trial and instructed about the possibility of the defendant filing such a motion. The court may condition admission of the defendant’s motion on amending it as instructed by the court. In felony cases, extraordinary leniency can be granted only if the motion is filed before the defendant is served with notice of the trial date. A motion for a conviction and imposing a specific sentence or punitive measure, imposing a forfeiture or compensatory measure without evidentiary proceedings or making a specific ruling on the payment of costs of proceedings may be filed until the first hearing of all defendants is completed (Article 387, §1, first and second sentences, §2 and §3).</w:t>
      </w:r>
    </w:p>
    <w:p w14:paraId="464AF789" w14:textId="77777777" w:rsidR="006C1DF8" w:rsidRPr="006C1DF8"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rPr>
      </w:pPr>
      <w:r>
        <w:rPr>
          <w:rFonts w:ascii="Times New Roman" w:hAnsi="Times New Roman"/>
          <w:color w:val="000000"/>
          <w:sz w:val="20"/>
        </w:rPr>
        <w:t>The right to submit a motion for a referral of the case to mediation to reconcile with the victim (Article 23a). The participation in mediation proceedings is voluntary. Positive results of mediation are taken into account by the court in determining the sentence (Article 53 § 3 of the Act of 6 June 1997 on the Criminal Code, Journal of Laws of 2018, item 1600, as amended).</w:t>
      </w:r>
    </w:p>
    <w:p w14:paraId="4507224E" w14:textId="77777777" w:rsidR="006C1DF8" w:rsidRPr="006C1DF8"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rPr>
      </w:pPr>
      <w:r>
        <w:rPr>
          <w:rFonts w:ascii="Times New Roman" w:hAnsi="Times New Roman"/>
          <w:color w:val="000000"/>
          <w:sz w:val="20"/>
        </w:rPr>
        <w:t>The right of access to case files and to make copies (Article 156 § 1-3).</w:t>
      </w:r>
    </w:p>
    <w:p w14:paraId="3DBBD484" w14:textId="10542B4C" w:rsidR="006C1DF8" w:rsidRPr="006C1DF8" w:rsidRDefault="006C1DF8" w:rsidP="00AB4615">
      <w:pPr>
        <w:numPr>
          <w:ilvl w:val="0"/>
          <w:numId w:val="3"/>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rPr>
      </w:pPr>
      <w:r>
        <w:rPr>
          <w:rFonts w:ascii="Times New Roman" w:hAnsi="Times New Roman"/>
          <w:sz w:val="20"/>
        </w:rPr>
        <w:t xml:space="preserve">The right to file, within 7 days from the date of </w:t>
      </w:r>
      <w:r>
        <w:rPr>
          <w:rFonts w:ascii="Times New Roman" w:hAnsi="Times New Roman"/>
          <w:color w:val="000000"/>
          <w:sz w:val="20"/>
        </w:rPr>
        <w:t xml:space="preserve">pronouncement of the judgment, a motion </w:t>
      </w:r>
      <w:r>
        <w:rPr>
          <w:rFonts w:ascii="Times New Roman" w:hAnsi="Times New Roman"/>
          <w:sz w:val="20"/>
        </w:rPr>
        <w:t xml:space="preserve">for a statement of grounds to be prepared in writing and served. </w:t>
      </w:r>
      <w:r>
        <w:rPr>
          <w:rFonts w:ascii="Times New Roman" w:hAnsi="Times New Roman"/>
          <w:color w:val="000000"/>
          <w:sz w:val="20"/>
        </w:rPr>
        <w:t xml:space="preserve">Preparation of a statement of grounds ex officio shall not exempt a party from filing a motion for service of the statement of grounds. </w:t>
      </w:r>
      <w:r>
        <w:rPr>
          <w:rFonts w:ascii="Times New Roman" w:hAnsi="Times New Roman"/>
          <w:sz w:val="20"/>
        </w:rPr>
        <w:t xml:space="preserve">The motion shall be submitted in writing. The motion should specify whether it concerns the entire judgment or some of the acts that the defendant is accused of, or only the ruling on the sentence and other legal consequences of the act. </w:t>
      </w:r>
      <w:r>
        <w:rPr>
          <w:rFonts w:ascii="Times New Roman" w:hAnsi="Times New Roman"/>
          <w:color w:val="000000"/>
          <w:sz w:val="20"/>
        </w:rPr>
        <w:t xml:space="preserve">For a defendant deprived of liberty who does not have a defence counsel and – despite a motion submitted for the defendant to be brought to the trial date at which the judgment was announced – was not present at the announcement of the judgment, the time limit for filing a motion </w:t>
      </w:r>
      <w:r>
        <w:rPr>
          <w:rFonts w:ascii="Times New Roman" w:hAnsi="Times New Roman"/>
          <w:sz w:val="20"/>
        </w:rPr>
        <w:t>to prepare the statement of grounds in writing and serve it</w:t>
      </w:r>
      <w:r>
        <w:rPr>
          <w:rFonts w:ascii="Times New Roman" w:hAnsi="Times New Roman"/>
          <w:color w:val="000000"/>
          <w:sz w:val="20"/>
        </w:rPr>
        <w:t xml:space="preserve"> shall run from the date the judgment was served on them. A motion filed by an unauthorized person, after the time limit or if the missing documents are not supplemented in time</w:t>
      </w:r>
      <w:r>
        <w:rPr>
          <w:rFonts w:ascii="Times New Roman" w:hAnsi="Times New Roman"/>
          <w:sz w:val="20"/>
        </w:rPr>
        <w:t xml:space="preserve"> </w:t>
      </w:r>
      <w:r>
        <w:rPr>
          <w:rFonts w:ascii="Times New Roman" w:hAnsi="Times New Roman"/>
          <w:color w:val="000000"/>
          <w:sz w:val="20"/>
        </w:rPr>
        <w:t>(</w:t>
      </w:r>
      <w:r>
        <w:rPr>
          <w:rFonts w:ascii="Times New Roman" w:hAnsi="Times New Roman"/>
          <w:sz w:val="20"/>
        </w:rPr>
        <w:t>Article 422 § 1-3).</w:t>
      </w:r>
      <w:r>
        <w:rPr>
          <w:rFonts w:ascii="Times New Roman" w:hAnsi="Times New Roman"/>
          <w:i/>
          <w:sz w:val="20"/>
        </w:rPr>
        <w:t xml:space="preserve"> </w:t>
      </w:r>
    </w:p>
    <w:p w14:paraId="1CE67A0F" w14:textId="77777777" w:rsidR="006C1DF8" w:rsidRPr="006C1DF8" w:rsidRDefault="006C1DF8" w:rsidP="00AB4615">
      <w:pPr>
        <w:widowControl w:val="0"/>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b/>
          <w:bCs/>
          <w:color w:val="000000"/>
          <w:sz w:val="20"/>
          <w:szCs w:val="20"/>
        </w:rPr>
      </w:pPr>
      <w:r>
        <w:rPr>
          <w:rFonts w:ascii="Times New Roman" w:hAnsi="Times New Roman"/>
          <w:b/>
          <w:color w:val="000000"/>
          <w:sz w:val="20"/>
        </w:rPr>
        <w:t>Criminal proceedings may be conducted without the presence of the defendant whose presence is mandatory when the defendant:</w:t>
      </w:r>
    </w:p>
    <w:p w14:paraId="50E55E1A" w14:textId="77777777" w:rsidR="006C1DF8" w:rsidRPr="006C1DF8"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rPr>
      </w:pPr>
      <w:r>
        <w:rPr>
          <w:rFonts w:ascii="Times New Roman" w:hAnsi="Times New Roman"/>
          <w:color w:val="000000"/>
          <w:sz w:val="20"/>
        </w:rPr>
        <w:t>through no fault of their own, is incapable of participating in the trial or hearing; the failure of the defendant to give explanations to date is not an obstacle to the proceedings;</w:t>
      </w:r>
      <w:r>
        <w:rPr>
          <w:rFonts w:ascii="Times New Roman" w:hAnsi="Times New Roman"/>
          <w:sz w:val="20"/>
        </w:rPr>
        <w:t xml:space="preserve"> before an order to this effect is issued, the court shall review the testimony of the physician who has established the state of such incapacity, or shall hear the physician as an expert. The condition rendering the defendant incapable of participating in the trial can also be determined on the basis of an examination that does not involve a violation of the bodily integrity, carried out with a suitable device</w:t>
      </w:r>
      <w:r>
        <w:rPr>
          <w:rFonts w:ascii="Times New Roman" w:hAnsi="Times New Roman"/>
          <w:color w:val="000000"/>
          <w:sz w:val="20"/>
        </w:rPr>
        <w:t xml:space="preserve"> (Article 377 § 1 and § 2); </w:t>
      </w:r>
    </w:p>
    <w:p w14:paraId="0A57DE52" w14:textId="77777777" w:rsidR="006C1DF8" w:rsidRPr="006C1DF8"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rPr>
      </w:pPr>
      <w:r>
        <w:rPr>
          <w:rFonts w:ascii="Times New Roman" w:hAnsi="Times New Roman"/>
          <w:color w:val="000000"/>
          <w:sz w:val="20"/>
        </w:rPr>
        <w:t>when notified of the date of the trial or hearing, declares that they shall not attend the trial or hearing, makes it impossible to bring the defendant to the trial or hearing, or when notified personally does not appear at the trial or hearing without excuse; however, the court may order that the defendant be detained and forcibly brought to the trial or hearing (Article 377 § 3);</w:t>
      </w:r>
    </w:p>
    <w:p w14:paraId="67F89F37" w14:textId="77777777" w:rsidR="006C1DF8" w:rsidRPr="006C1DF8"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rPr>
      </w:pPr>
      <w:r>
        <w:rPr>
          <w:rFonts w:ascii="Times New Roman" w:hAnsi="Times New Roman"/>
          <w:color w:val="000000"/>
          <w:sz w:val="20"/>
        </w:rPr>
        <w:t>has already given explanations and left the courtroom without permission from the presiding judge, unless the court deemed their presence mandatory and ordered their detention and forcible bringing (Article 376 § 1, first and second sentences);</w:t>
      </w:r>
    </w:p>
    <w:p w14:paraId="4801005C" w14:textId="77777777" w:rsidR="006C1DF8" w:rsidRPr="006C1DF8"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rPr>
      </w:pPr>
      <w:r>
        <w:rPr>
          <w:rFonts w:ascii="Times New Roman" w:hAnsi="Times New Roman"/>
          <w:color w:val="000000"/>
          <w:sz w:val="20"/>
        </w:rPr>
        <w:t xml:space="preserve">notified of the date of a postponed or adjourned trial fails to appear at the trial without an excuse, unless the court deemed their presence mandatory and ordered their detention and forcible bringing (Article 376 § 2). </w:t>
      </w:r>
    </w:p>
    <w:p w14:paraId="69779B2B"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sz w:val="20"/>
        </w:rPr>
        <w:t>If a co-defendant who excused their non-appearance does not appear at the adjourned or interrupted trial, the court may conduct the trial to the extent not directly concerning the absent defendant if this does not restrict their right to defence (Article 376, paragraph 3).</w:t>
      </w:r>
    </w:p>
    <w:p w14:paraId="2C88A0FB"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hAnsi="Times New Roman"/>
          <w:color w:val="000000"/>
          <w:sz w:val="20"/>
        </w:rPr>
        <w:t>A defendant who has not yet given explanations to the court may be examined by the designated judge or the court in whose district they reside if they have failed to appear due to obstacles too difficult to remove; the court may also deem it sufficient to read the statement already made by the defendant. The defendant may be examined by way of videoconference (Article 377 § 4).</w:t>
      </w:r>
    </w:p>
    <w:p w14:paraId="63B5B18B" w14:textId="77777777" w:rsidR="006C1DF8" w:rsidRPr="006C1DF8" w:rsidRDefault="006C1DF8" w:rsidP="00AB4615">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b/>
          <w:color w:val="000000"/>
          <w:sz w:val="20"/>
        </w:rPr>
        <w:t>The defendant is not required to prove their innocence or provide evidence to their disadvantage (Article 74 § 1). However, the defendant shall submit to:</w:t>
      </w:r>
    </w:p>
    <w:p w14:paraId="4C691423" w14:textId="77777777" w:rsidR="006C1DF8" w:rsidRPr="006C1DF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hAnsi="Times New Roman"/>
          <w:color w:val="000000"/>
          <w:sz w:val="20"/>
        </w:rPr>
        <w:t>1) body inspection and examination not involving bodily violation, fingerprinting, photography, and presentation to other persons (Article 74 § 2(1));</w:t>
      </w:r>
    </w:p>
    <w:p w14:paraId="7636591B" w14:textId="647A09A6" w:rsidR="006C1DF8" w:rsidRPr="006C1DF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hAnsi="Times New Roman"/>
          <w:color w:val="000000"/>
          <w:sz w:val="20"/>
        </w:rPr>
        <w:t>2) psychological and psychiatric examinations, as well as examinations combined with performance of procedures on their body, with the exception of surgery, provided that they do not endanger the health of the defendant if performance of such examinations is indispensable (especially drawing of blood, hair or bodily secretions, such as saliva); the examination should be performed by a health care professional authorized to do so (Article 74, section</w:t>
      </w:r>
      <w:r w:rsidR="00410D2B">
        <w:rPr>
          <w:rFonts w:ascii="Times New Roman" w:hAnsi="Times New Roman"/>
          <w:color w:val="000000"/>
          <w:sz w:val="20"/>
        </w:rPr>
        <w:t> </w:t>
      </w:r>
      <w:r>
        <w:rPr>
          <w:rFonts w:ascii="Times New Roman" w:hAnsi="Times New Roman"/>
          <w:color w:val="000000"/>
          <w:sz w:val="20"/>
        </w:rPr>
        <w:t>2, item 2);</w:t>
      </w:r>
    </w:p>
    <w:p w14:paraId="1E054B36" w14:textId="41C38923" w:rsidR="006C1DF8" w:rsidRPr="006C1DF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hAnsi="Times New Roman"/>
          <w:color w:val="000000"/>
          <w:sz w:val="20"/>
        </w:rPr>
        <w:t>3) to a buccal swab by a police officer if it is indispensable and there is no risk to the health of the defendant (Article 74 § 2(3)).</w:t>
      </w:r>
    </w:p>
    <w:p w14:paraId="4C230765" w14:textId="77777777" w:rsidR="006C1DF8" w:rsidRPr="006C1DF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p>
    <w:p w14:paraId="76DF910B" w14:textId="77777777" w:rsidR="006C1DF8" w:rsidRPr="006C1DF8"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hAnsi="Times New Roman"/>
          <w:color w:val="000000"/>
          <w:sz w:val="20"/>
        </w:rPr>
        <w:lastRenderedPageBreak/>
        <w:t>Failure to comply with these obligations may lead to the arrest and forcible bringing of the defendant, as well as result in the use of physical force or technical measures of incapacitation against them to the extent necessary (Article 74 § 3a).</w:t>
      </w:r>
    </w:p>
    <w:p w14:paraId="2DCBE6D8" w14:textId="77777777" w:rsidR="006C1DF8" w:rsidRPr="006C1DF8"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b/>
          <w:bCs/>
          <w:color w:val="000000"/>
          <w:sz w:val="20"/>
          <w:szCs w:val="20"/>
        </w:rPr>
      </w:pPr>
      <w:r>
        <w:rPr>
          <w:rFonts w:ascii="Times New Roman" w:hAnsi="Times New Roman"/>
          <w:b/>
          <w:color w:val="000000"/>
          <w:sz w:val="20"/>
        </w:rPr>
        <w:t>The defendant shall also:</w:t>
      </w:r>
    </w:p>
    <w:p w14:paraId="0263CAF5" w14:textId="77777777" w:rsidR="006C1DF8" w:rsidRPr="006C1DF8"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rPr>
      </w:pPr>
      <w:r>
        <w:rPr>
          <w:rFonts w:ascii="Times New Roman" w:hAnsi="Times New Roman"/>
          <w:color w:val="000000"/>
          <w:sz w:val="20"/>
        </w:rPr>
        <w:t>appear at every summons and notify the court of any change in their place of residence or stay of more than seven days, including due to deprivation of liberty in another case; in the event of failure to appear, the defendant may be detained and forcibly brought in (Article 75 § 1 and § 2);</w:t>
      </w:r>
    </w:p>
    <w:p w14:paraId="496DCE5A" w14:textId="77777777" w:rsidR="006C1DF8" w:rsidRPr="006C1DF8"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rPr>
      </w:pPr>
      <w:r>
        <w:rPr>
          <w:rFonts w:ascii="Times New Roman" w:hAnsi="Times New Roman"/>
          <w:color w:val="000000"/>
          <w:sz w:val="20"/>
        </w:rPr>
        <w:t>indicate the address to which correspondence will be addressed, which may be a post office box address (Article 132 § 1 and § 2); otherwise, the action or trial shall be conducted in the absence of the defendant; failure to indicate an address may also prevent the filing of a motion, complaint or appeal due to the expiration of time limits (Article 133 § 2);</w:t>
      </w:r>
    </w:p>
    <w:p w14:paraId="14923921" w14:textId="48A77446" w:rsidR="006C1DF8" w:rsidRPr="006C1DF8"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rPr>
      </w:pPr>
      <w:r>
        <w:rPr>
          <w:rFonts w:ascii="Times New Roman" w:hAnsi="Times New Roman"/>
          <w:color w:val="000000"/>
          <w:sz w:val="20"/>
        </w:rPr>
        <w:t>designate an addressee for service in the country or in another member state of the European Union when they are not in the country or in another member state of the European Union; otherwise, a procedural document sent to the last known address in the country or in another member state of the European Union shall be considered effectively served and the action or trial shall be conducted in the absence of the defendant; failure to designate an address may also prevent the filing of a motion, complaint or appeal due to the expiration of time limits (Article</w:t>
      </w:r>
      <w:r w:rsidR="00410D2B">
        <w:rPr>
          <w:rFonts w:ascii="Times New Roman" w:hAnsi="Times New Roman"/>
          <w:color w:val="000000"/>
          <w:sz w:val="20"/>
        </w:rPr>
        <w:t> </w:t>
      </w:r>
      <w:r>
        <w:rPr>
          <w:rFonts w:ascii="Times New Roman" w:hAnsi="Times New Roman"/>
          <w:color w:val="000000"/>
          <w:sz w:val="20"/>
        </w:rPr>
        <w:t>138);</w:t>
      </w:r>
    </w:p>
    <w:p w14:paraId="48A656B8" w14:textId="77777777" w:rsidR="006C1DF8" w:rsidRPr="006C1DF8"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hAnsi="Times New Roman" w:cs="Times New Roman"/>
          <w:color w:val="000000"/>
          <w:sz w:val="20"/>
          <w:szCs w:val="20"/>
        </w:rPr>
      </w:pPr>
      <w:r>
        <w:rPr>
          <w:rFonts w:ascii="Times New Roman" w:hAnsi="Times New Roman"/>
          <w:color w:val="000000"/>
          <w:sz w:val="20"/>
        </w:rPr>
        <w:t>provide a new address in the event of a change of residence or domicile, including due to deprivation of liberty in another case; otherwise, a procedural document sent to the existing address shall be considered effectively served, and the action or trial shall be held in the absence of the defendant; failure to provide an address may also prevent the filing of a motion, complaint or appeal due to the expiration of time limits; this also applies to a defendant who has requested that service be made at the address of a designated post office box and has failed to notify the authority of a change of this address or the cessation of its use (Article 139).</w:t>
      </w:r>
    </w:p>
    <w:p w14:paraId="30599F5F" w14:textId="77777777" w:rsidR="006C1DF8" w:rsidRPr="006C1DF8" w:rsidRDefault="006C1DF8" w:rsidP="00AB4615">
      <w:pPr>
        <w:tabs>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hAnsi="Times New Roman"/>
          <w:color w:val="000000"/>
          <w:sz w:val="20"/>
        </w:rPr>
        <w:t>Announcement of an order setting trial dates has the effect equivalent to summoning current parties to the proceedings to participate in the trial or notifying them of the trial dates (Article 349 § 8).</w:t>
      </w:r>
    </w:p>
    <w:p w14:paraId="7943C0C5" w14:textId="77777777" w:rsidR="006C1DF8" w:rsidRPr="006C1DF8"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Verdana" w:hAnsi="Verdana" w:cs="Verdana"/>
          <w:color w:val="000000"/>
          <w:sz w:val="2"/>
          <w:szCs w:val="2"/>
          <w:lang w:val="x-none" w:eastAsia="x-none"/>
        </w:rPr>
      </w:pPr>
    </w:p>
    <w:p w14:paraId="37474DC9" w14:textId="77777777" w:rsidR="006C1DF8" w:rsidRPr="006C1DF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rPr>
      </w:pPr>
      <w:r>
        <w:rPr>
          <w:rFonts w:ascii="Times New Roman" w:hAnsi="Times New Roman"/>
          <w:color w:val="000000"/>
          <w:sz w:val="20"/>
        </w:rPr>
        <w:t>If the defendant is charged with an offense for which or in connection with which a fine, pecuniary performance, forfeiture, compensatory measure, restitution to the wronged party or another authorized party of the financial benefit that the perpetrator earned from the committed offense, or its equivalent, the execution of this judgment may be secured ex officio on the property of the defendant or other entities specified in provisions of the law if there is a reasonable concern that the execution of the judgment is impossible or significantly hindered without such security. For the same reasons, the execution of the court decision may also be secured ex officio on the property of the defendant (Article 291 § 1-3).</w:t>
      </w:r>
    </w:p>
    <w:p w14:paraId="457FFA8D" w14:textId="77777777" w:rsidR="006C1DF8" w:rsidRPr="006C1DF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p>
    <w:p w14:paraId="59BBC797" w14:textId="77777777" w:rsidR="006C1DF8" w:rsidRPr="006C1DF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p>
    <w:p w14:paraId="5B27A055" w14:textId="77777777" w:rsidR="006C1DF8" w:rsidRPr="00AB4615"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x-none" w:eastAsia="x-none"/>
        </w:rPr>
      </w:pPr>
    </w:p>
    <w:p w14:paraId="1A3EB43F" w14:textId="77777777" w:rsidR="006C1DF8" w:rsidRPr="00AB4615"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x-none" w:eastAsia="x-none"/>
        </w:rPr>
      </w:pPr>
    </w:p>
    <w:p w14:paraId="7295A6C8" w14:textId="77777777" w:rsidR="006C1DF8" w:rsidRPr="00AB4615"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x-none" w:eastAsia="x-none"/>
        </w:rPr>
      </w:pPr>
    </w:p>
    <w:p w14:paraId="722C34F3" w14:textId="77777777" w:rsidR="006C1DF8" w:rsidRPr="00AB4615" w:rsidRDefault="006C1DF8"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eastAsia="Times New Roman" w:hAnsi="Times New Roman" w:cs="Times New Roman"/>
          <w:sz w:val="16"/>
          <w:szCs w:val="16"/>
        </w:rPr>
      </w:pPr>
      <w:r>
        <w:rPr>
          <w:rFonts w:ascii="Times New Roman" w:hAnsi="Times New Roman"/>
          <w:sz w:val="16"/>
        </w:rPr>
        <w:t>select the correct phrase;</w:t>
      </w:r>
    </w:p>
    <w:p w14:paraId="24F83681" w14:textId="77777777" w:rsidR="006C1DF8" w:rsidRPr="00AB4615" w:rsidRDefault="006C1DF8"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hAnsi="Times New Roman" w:cs="Times New Roman"/>
          <w:sz w:val="16"/>
          <w:szCs w:val="16"/>
        </w:rPr>
      </w:pPr>
      <w:r>
        <w:rPr>
          <w:rFonts w:ascii="Times New Roman" w:hAnsi="Times New Roman"/>
          <w:sz w:val="16"/>
        </w:rPr>
        <w:t>if no other legal basis is indicated, provisions in parentheses refer to the relevant articles of the Act of 6 June 1997 on the Code of Criminal Procedure Journal of Laws of 2018, item 1987, as amended).</w:t>
      </w:r>
    </w:p>
    <w:p w14:paraId="614FBFD0" w14:textId="77777777" w:rsidR="006C1DF8" w:rsidRPr="00AB4615" w:rsidRDefault="006C1DF8" w:rsidP="00AB461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autoSpaceDE w:val="0"/>
        <w:autoSpaceDN w:val="0"/>
        <w:adjustRightInd w:val="0"/>
        <w:spacing w:after="0" w:line="240" w:lineRule="auto"/>
        <w:jc w:val="both"/>
        <w:rPr>
          <w:rFonts w:ascii="Times New Roman" w:hAnsi="Times New Roman" w:cs="Times New Roman"/>
          <w:b/>
          <w:bCs/>
          <w:i/>
          <w:iCs/>
          <w:color w:val="000000"/>
          <w:sz w:val="16"/>
          <w:szCs w:val="16"/>
          <w:lang w:val="x-none" w:eastAsia="x-none"/>
        </w:rPr>
      </w:pPr>
    </w:p>
    <w:p w14:paraId="4B7E7D4E" w14:textId="77777777" w:rsidR="006C1DF8" w:rsidRPr="006C1DF8" w:rsidRDefault="006C1DF8" w:rsidP="00AB4615">
      <w:pPr>
        <w:widowControl w:val="0"/>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autoSpaceDE w:val="0"/>
        <w:autoSpaceDN w:val="0"/>
        <w:adjustRightInd w:val="0"/>
        <w:spacing w:after="0" w:line="240" w:lineRule="auto"/>
        <w:jc w:val="both"/>
        <w:rPr>
          <w:rFonts w:ascii="Times New Roman" w:hAnsi="Times New Roman" w:cs="Times New Roman"/>
          <w:color w:val="000000"/>
          <w:sz w:val="16"/>
          <w:szCs w:val="16"/>
          <w:lang w:val="x-none" w:eastAsia="x-none"/>
        </w:rPr>
      </w:pPr>
    </w:p>
    <w:p w14:paraId="195DF4DC" w14:textId="4E9A0502" w:rsidR="00B376B7" w:rsidRPr="00541687" w:rsidRDefault="006C1DF8" w:rsidP="00AB4615">
      <w:pPr>
        <w:pStyle w:val="Normal"/>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jc w:val="both"/>
        <w:rPr>
          <w:rFonts w:ascii="Times New Roman" w:hAnsi="Times New Roman" w:cs="Times New Roman"/>
        </w:rPr>
      </w:pPr>
      <w:r w:rsidRPr="006C1DF8">
        <w:rPr>
          <w:rFonts w:ascii="Times New Roman" w:hAnsi="Times New Roman" w:cs="Times New Roman"/>
          <w:color w:val="000000"/>
        </w:rPr>
        <w:fldChar w:fldCharType="begin"/>
      </w:r>
      <w:r w:rsidRPr="006C1DF8">
        <w:rPr>
          <w:rFonts w:ascii="Times New Roman" w:hAnsi="Times New Roman" w:cs="Times New Roman"/>
          <w:color w:val="000000"/>
        </w:rPr>
        <w:instrText xml:space="preserve"> {KONIEC} </w:instrText>
      </w:r>
      <w:r w:rsidRPr="006C1DF8">
        <w:rPr>
          <w:rFonts w:ascii="Times New Roman" w:hAnsi="Times New Roman" w:cs="Times New Roman"/>
          <w:color w:val="000000"/>
        </w:rPr>
        <w:fldChar w:fldCharType="separate"/>
      </w:r>
      <w:r w:rsidRPr="006C1DF8">
        <w:rPr>
          <w:rFonts w:ascii="Times New Roman" w:hAnsi="Times New Roman" w:cs="Times New Roman"/>
          <w:color w:val="000000"/>
        </w:rPr>
        <w:t xml:space="preserve"> </w:t>
      </w:r>
      <w:r w:rsidRPr="006C1DF8">
        <w:rPr>
          <w:rFonts w:ascii="Times New Roman" w:hAnsi="Times New Roman" w:cs="Times New Roman"/>
          <w:color w:val="000000"/>
        </w:rPr>
        <w:fldChar w:fldCharType="end"/>
      </w:r>
    </w:p>
    <w:sectPr w:rsidR="00B376B7" w:rsidRPr="005416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2933D" w14:textId="77777777" w:rsidR="00B52E2F" w:rsidRDefault="00B52E2F" w:rsidP="00B52E2F">
      <w:pPr>
        <w:spacing w:after="0" w:line="240" w:lineRule="auto"/>
      </w:pPr>
      <w:r>
        <w:separator/>
      </w:r>
    </w:p>
  </w:endnote>
  <w:endnote w:type="continuationSeparator" w:id="0">
    <w:p w14:paraId="7312EC02" w14:textId="77777777" w:rsidR="00B52E2F" w:rsidRDefault="00B52E2F" w:rsidP="00B52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52217" w14:textId="77777777" w:rsidR="00B52E2F" w:rsidRDefault="00B52E2F" w:rsidP="00B52E2F">
      <w:pPr>
        <w:spacing w:after="0" w:line="240" w:lineRule="auto"/>
      </w:pPr>
      <w:r>
        <w:separator/>
      </w:r>
    </w:p>
  </w:footnote>
  <w:footnote w:type="continuationSeparator" w:id="0">
    <w:p w14:paraId="5253F11B" w14:textId="77777777" w:rsidR="00B52E2F" w:rsidRDefault="00B52E2F" w:rsidP="00B52E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abstractNum>
  <w:abstractNum w:abstractNumId="1" w15:restartNumberingAfterBreak="0">
    <w:nsid w:val="00000002"/>
    <w:multiLevelType w:val="multilevel"/>
    <w:tmpl w:val="00000002"/>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2" w15:restartNumberingAfterBreak="0">
    <w:nsid w:val="00000003"/>
    <w:multiLevelType w:val="multilevel"/>
    <w:tmpl w:val="00000003"/>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3" w15:restartNumberingAfterBreak="0">
    <w:nsid w:val="00000004"/>
    <w:multiLevelType w:val="multilevel"/>
    <w:tmpl w:val="00000004"/>
    <w:lvl w:ilvl="0">
      <w:start w:val="1"/>
      <w:numFmt w:val="decimal"/>
      <w:lvlText w:val="%1)"/>
      <w:lvlJc w:val="left"/>
      <w:pPr>
        <w:ind w:left="1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1">
      <w:start w:val="1"/>
      <w:numFmt w:val="decimal"/>
      <w:lvlText w:val="%2)"/>
      <w:lvlJc w:val="left"/>
      <w:pPr>
        <w:ind w:left="5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2">
      <w:start w:val="1"/>
      <w:numFmt w:val="decimal"/>
      <w:lvlText w:val="%3)"/>
      <w:lvlJc w:val="left"/>
      <w:pPr>
        <w:ind w:left="8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3">
      <w:start w:val="1"/>
      <w:numFmt w:val="decimal"/>
      <w:lvlText w:val="%4)"/>
      <w:lvlJc w:val="left"/>
      <w:pPr>
        <w:ind w:left="12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4">
      <w:start w:val="1"/>
      <w:numFmt w:val="decimal"/>
      <w:lvlText w:val="%5)"/>
      <w:lvlJc w:val="left"/>
      <w:pPr>
        <w:ind w:left="158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5">
      <w:start w:val="1"/>
      <w:numFmt w:val="decimal"/>
      <w:lvlText w:val="%6)"/>
      <w:lvlJc w:val="left"/>
      <w:pPr>
        <w:ind w:left="19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6">
      <w:start w:val="1"/>
      <w:numFmt w:val="decimal"/>
      <w:lvlText w:val="%7)"/>
      <w:lvlJc w:val="left"/>
      <w:pPr>
        <w:ind w:left="23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7">
      <w:start w:val="1"/>
      <w:numFmt w:val="decimal"/>
      <w:lvlText w:val="%8)"/>
      <w:lvlJc w:val="left"/>
      <w:pPr>
        <w:ind w:left="26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8">
      <w:start w:val="1"/>
      <w:numFmt w:val="decimal"/>
      <w:lvlText w:val="%9)"/>
      <w:lvlJc w:val="left"/>
      <w:pPr>
        <w:ind w:left="30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abstractNum>
  <w:num w:numId="1" w16cid:durableId="954366741">
    <w:abstractNumId w:val="0"/>
  </w:num>
  <w:num w:numId="2" w16cid:durableId="998732955">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3" w16cid:durableId="1892691541">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4" w16cid:durableId="1905752911">
    <w:abstractNumId w:val="1"/>
  </w:num>
  <w:num w:numId="5" w16cid:durableId="248000408">
    <w:abstractNumId w:val="2"/>
  </w:num>
  <w:num w:numId="6" w16cid:durableId="15163093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616E0"/>
    <w:rsid w:val="00410D2B"/>
    <w:rsid w:val="00541687"/>
    <w:rsid w:val="00584D6E"/>
    <w:rsid w:val="006C1DF8"/>
    <w:rsid w:val="00842077"/>
    <w:rsid w:val="008616E0"/>
    <w:rsid w:val="0087113A"/>
    <w:rsid w:val="00AB4615"/>
    <w:rsid w:val="00B129EE"/>
    <w:rsid w:val="00B376B7"/>
    <w:rsid w:val="00B52E2F"/>
    <w:rsid w:val="00CE4A7A"/>
    <w:rsid w:val="00F52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95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uiPriority w:val="99"/>
    <w:rsid w:val="00541687"/>
    <w:pPr>
      <w:widowControl w:val="0"/>
      <w:autoSpaceDE w:val="0"/>
      <w:autoSpaceDN w:val="0"/>
      <w:adjustRightInd w:val="0"/>
      <w:spacing w:after="0" w:line="240" w:lineRule="auto"/>
    </w:pPr>
    <w:rPr>
      <w:rFonts w:ascii="Arial" w:hAnsi="Arial" w:cs="Arial"/>
      <w:sz w:val="24"/>
      <w:szCs w:val="24"/>
      <w:lang w:eastAsia="pl-PL"/>
    </w:rPr>
  </w:style>
  <w:style w:type="paragraph" w:customStyle="1" w:styleId="BODY">
    <w:name w:val="BODY"/>
    <w:basedOn w:val="Normal"/>
    <w:uiPriority w:val="99"/>
    <w:rsid w:val="00541687"/>
    <w:pPr>
      <w:spacing w:before="134" w:after="134"/>
    </w:pPr>
    <w:rPr>
      <w:lang w:eastAsia="x-none"/>
    </w:rPr>
  </w:style>
  <w:style w:type="character" w:customStyle="1" w:styleId="s17">
    <w:name w:val="s17"/>
    <w:basedOn w:val="Domylnaczcionkaakapitu"/>
    <w:uiPriority w:val="99"/>
    <w:rsid w:val="006C1DF8"/>
    <w:rPr>
      <w:strike/>
      <w:lang w:eastAsia="x-none"/>
    </w:rPr>
  </w:style>
  <w:style w:type="character" w:customStyle="1" w:styleId="txt-new1">
    <w:name w:val="txt-new1"/>
    <w:basedOn w:val="Domylnaczcionkaakapitu"/>
    <w:uiPriority w:val="99"/>
    <w:rsid w:val="006C1DF8"/>
    <w:rPr>
      <w:lang w:eastAsia="x-none"/>
    </w:rPr>
  </w:style>
  <w:style w:type="character" w:customStyle="1" w:styleId="tabulatory1">
    <w:name w:val="tabulatory1"/>
    <w:basedOn w:val="Domylnaczcionkaakapitu"/>
    <w:uiPriority w:val="99"/>
    <w:rsid w:val="006C1DF8"/>
    <w:rPr>
      <w:lang w:eastAsia="x-none"/>
    </w:rPr>
  </w:style>
  <w:style w:type="character" w:customStyle="1" w:styleId="txt-new2">
    <w:name w:val="txt-new2"/>
    <w:basedOn w:val="Domylnaczcionkaakapitu"/>
    <w:uiPriority w:val="99"/>
    <w:rsid w:val="006C1DF8"/>
    <w:rPr>
      <w:lang w:eastAsia="x-none"/>
    </w:rPr>
  </w:style>
  <w:style w:type="character" w:customStyle="1" w:styleId="txt-new3">
    <w:name w:val="txt-new3"/>
    <w:basedOn w:val="Domylnaczcionkaakapitu"/>
    <w:uiPriority w:val="99"/>
    <w:rsid w:val="006C1DF8"/>
    <w:rPr>
      <w:lang w:eastAsia="x-none"/>
    </w:rPr>
  </w:style>
  <w:style w:type="character" w:customStyle="1" w:styleId="txt-new4">
    <w:name w:val="txt-new4"/>
    <w:basedOn w:val="Domylnaczcionkaakapitu"/>
    <w:uiPriority w:val="99"/>
    <w:rsid w:val="006C1DF8"/>
    <w:rPr>
      <w:lang w:eastAsia="x-none"/>
    </w:rPr>
  </w:style>
  <w:style w:type="character" w:customStyle="1" w:styleId="txt-new6">
    <w:name w:val="txt-new6"/>
    <w:basedOn w:val="Domylnaczcionkaakapitu"/>
    <w:uiPriority w:val="99"/>
    <w:rsid w:val="006C1DF8"/>
    <w:rPr>
      <w:lang w:eastAsia="x-none"/>
    </w:rPr>
  </w:style>
  <w:style w:type="character" w:customStyle="1" w:styleId="FontStyle15">
    <w:name w:val="Font Style15"/>
    <w:basedOn w:val="Domylnaczcionkaakapitu"/>
    <w:uiPriority w:val="99"/>
    <w:rsid w:val="006C1DF8"/>
    <w:rPr>
      <w:rFonts w:cs="Franklin Gothic Medium"/>
      <w:b/>
      <w:bCs/>
      <w:sz w:val="12"/>
      <w:szCs w:val="12"/>
      <w:lang w:eastAsia="x-none"/>
    </w:rPr>
  </w:style>
  <w:style w:type="paragraph" w:styleId="Nagwek">
    <w:name w:val="header"/>
    <w:basedOn w:val="Normalny"/>
    <w:link w:val="NagwekZnak"/>
    <w:uiPriority w:val="99"/>
    <w:unhideWhenUsed/>
    <w:rsid w:val="00B52E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52E2F"/>
  </w:style>
  <w:style w:type="paragraph" w:styleId="Stopka">
    <w:name w:val="footer"/>
    <w:basedOn w:val="Normalny"/>
    <w:link w:val="StopkaZnak"/>
    <w:uiPriority w:val="99"/>
    <w:unhideWhenUsed/>
    <w:rsid w:val="00B52E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52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2580</Words>
  <Characters>12445</Characters>
  <Application>Microsoft Office Word</Application>
  <DocSecurity>0</DocSecurity>
  <Lines>166</Lines>
  <Paragraphs>35</Paragraphs>
  <ScaleCrop>false</ScaleCrop>
  <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2026-03-19T11:38:00Z</dcterms:created>
  <dcterms:modified xsi:type="dcterms:W3CDTF">2026-03-19T11:38:00Z</dcterms:modified>
</cp:coreProperties>
</file>